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0C8" w:rsidRDefault="00DD60C8" w:rsidP="00DD60C8">
      <w:pPr>
        <w:pStyle w:val="21"/>
        <w:ind w:firstLine="0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>Уважаемый акционер!</w:t>
      </w:r>
    </w:p>
    <w:p w:rsidR="00DD60C8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DD60C8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Публичное акционерное общество «Сбербанк России» (далее — Банк), место нахождения: Российская Федерация, город Москва, — уведомляет Вас о созыве 8 июня 2018 года годового Общего собрания акционеров Банка по итогам 2017 года (далее — Собрание). </w:t>
      </w:r>
    </w:p>
    <w:p w:rsidR="00DD60C8" w:rsidRDefault="00DD60C8" w:rsidP="00DD60C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Форма проведения Собрания — собрание (совместное присутствие акционеров).</w:t>
      </w:r>
    </w:p>
    <w:p w:rsidR="00DD60C8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Место проведения Собрания — конференц-зал Банка по адресу: Российская Федерация, город Москва, улица Вавилова, дом 19.</w:t>
      </w: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Время начала проведения Собрания — 10:00 по московскому времени.</w:t>
      </w: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Дата определения (фиксации) лиц, имеющих право на участие в Собрании, — 14 мая 2018 года (конец операционного дня).</w:t>
      </w: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Зарегистрироваться для участия в Собрании можно 8 июня 2018 года с 8:00 по московскому времени по адресу места проведения Собрания.</w:t>
      </w: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Для регистрации акционеру или его представителю необходимо иметь при себе паспорт или иной документ, удостоверяющий личность, а представитель акционера должен дополнительно иметь документы, подтверждающие его полномочия, оформленные в соответствии с требованиями законодательства Российской Федерации.</w:t>
      </w:r>
    </w:p>
    <w:p w:rsidR="00DD60C8" w:rsidRDefault="00DD60C8" w:rsidP="00DD60C8">
      <w:pPr>
        <w:pStyle w:val="a4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Акционер может проголосовать по вопросам повестки дня Собрания, направив заполненные бюллетени в Банк по следующему почтовому адресу: Российская Федерация, 117</w:t>
      </w:r>
      <w:r w:rsidR="00FE3F18">
        <w:rPr>
          <w:rFonts w:ascii="Times New Roman" w:hAnsi="Times New Roman"/>
          <w:sz w:val="22"/>
          <w:szCs w:val="22"/>
        </w:rPr>
        <w:t>997</w:t>
      </w:r>
      <w:r>
        <w:rPr>
          <w:rFonts w:ascii="Times New Roman" w:hAnsi="Times New Roman"/>
          <w:sz w:val="22"/>
          <w:szCs w:val="22"/>
        </w:rPr>
        <w:t>, город Москва, улица Вавилова, дом 19. Такие бюллетени должны поступить в Банк не позднее 18:00 по московскому времени 5</w:t>
      </w:r>
      <w:r>
        <w:rPr>
          <w:rFonts w:ascii="Times New Roman" w:hAnsi="Times New Roman"/>
          <w:bCs/>
          <w:sz w:val="22"/>
          <w:szCs w:val="22"/>
        </w:rPr>
        <w:t xml:space="preserve"> июня 2018 года. Бюллетени, поступившие после указанной даты, не будут учитываться при </w:t>
      </w:r>
      <w:r>
        <w:rPr>
          <w:rFonts w:ascii="Times New Roman" w:hAnsi="Times New Roman"/>
          <w:sz w:val="22"/>
          <w:szCs w:val="22"/>
        </w:rPr>
        <w:t>определении кворума Собрания и подведении итогов голосования.</w:t>
      </w:r>
    </w:p>
    <w:p w:rsidR="00DD60C8" w:rsidRDefault="00DD60C8" w:rsidP="00DD60C8">
      <w:pPr>
        <w:pStyle w:val="21"/>
        <w:tabs>
          <w:tab w:val="left" w:pos="993"/>
        </w:tabs>
        <w:ind w:firstLine="567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В соответствии с решением Наблюдательного совета Банка акционер также имеет возможность дистанционного участия в Собрании путем заполнения электронной формы бюллетеней для голосования на сайте в информационно-телекоммуникационной сети Интернет </w:t>
      </w:r>
      <w:r>
        <w:rPr>
          <w:bCs/>
          <w:color w:val="000000" w:themeColor="text1"/>
          <w:sz w:val="22"/>
          <w:szCs w:val="22"/>
        </w:rPr>
        <w:t xml:space="preserve">по адресу: </w:t>
      </w:r>
      <w:hyperlink r:id="rId5" w:history="1">
        <w:r>
          <w:rPr>
            <w:rStyle w:val="a3"/>
            <w:bCs/>
            <w:color w:val="000000" w:themeColor="text1"/>
            <w:sz w:val="22"/>
            <w:szCs w:val="22"/>
          </w:rPr>
          <w:t>www.sberbank.com/shareholder/</w:t>
        </w:r>
      </w:hyperlink>
      <w:r>
        <w:rPr>
          <w:rStyle w:val="a3"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(посредством электронного сервиса «СТАТУС онлайн. Кабинет акционера» (далее — Сервис)).</w:t>
      </w:r>
    </w:p>
    <w:p w:rsidR="00DD60C8" w:rsidRDefault="00DD60C8" w:rsidP="00DD60C8">
      <w:pPr>
        <w:pStyle w:val="21"/>
        <w:ind w:firstLine="567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Для акционеров, учитывающих свои права на акции у номинального держателя, заполнение электронной формы бюллетеня будет доступно по указанному адресу после раскрытия номинальным держателем информации о таком акционере как о лице, имеющем право на участие в Собрании (предоставления ее регистратору Банка — Акционерному обществу «Регистраторское общество </w:t>
      </w:r>
      <w:r w:rsidR="009979E8">
        <w:rPr>
          <w:color w:val="000000" w:themeColor="text1"/>
          <w:sz w:val="22"/>
          <w:szCs w:val="22"/>
        </w:rPr>
        <w:t>«</w:t>
      </w:r>
      <w:r>
        <w:rPr>
          <w:color w:val="000000" w:themeColor="text1"/>
          <w:sz w:val="22"/>
          <w:szCs w:val="22"/>
        </w:rPr>
        <w:t>СТАТУС» (далее — АО «СТАТУС»)).</w:t>
      </w:r>
    </w:p>
    <w:p w:rsidR="00DD60C8" w:rsidRDefault="00DD60C8" w:rsidP="00DD60C8">
      <w:pPr>
        <w:pStyle w:val="21"/>
        <w:ind w:firstLine="567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Доступ к Сервису будет предоставлен акционерам Банка, включенным в список лиц, имеющих право на участие в Собрании, до 18:00 (по московскому времени) 5 июня 2018 года, а также в день проведения Собрания, если акционер не реализовал свое право на участие в Собрании путем направления заполненных бюллетеней по почте.</w:t>
      </w:r>
    </w:p>
    <w:p w:rsidR="00DD60C8" w:rsidRDefault="00DD60C8" w:rsidP="00DD60C8">
      <w:pPr>
        <w:pStyle w:val="a4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Ознакомиться с информацией (материалами) к Собранию можно по адресу Банка: город Москва, улица Вавилова, дом 19; по адресам филиалов — территориальных банков; на сайте Банка в сети Интернет по адресу: </w:t>
      </w:r>
      <w:hyperlink r:id="rId6" w:history="1">
        <w:r>
          <w:rPr>
            <w:rStyle w:val="a3"/>
            <w:rFonts w:ascii="Times New Roman" w:hAnsi="Times New Roman"/>
            <w:bCs/>
            <w:sz w:val="22"/>
            <w:szCs w:val="22"/>
          </w:rPr>
          <w:t>www.sberbank.com</w:t>
        </w:r>
      </w:hyperlink>
      <w:r>
        <w:rPr>
          <w:rStyle w:val="a3"/>
          <w:rFonts w:ascii="Times New Roman" w:hAnsi="Times New Roman"/>
          <w:bCs/>
          <w:sz w:val="22"/>
          <w:szCs w:val="22"/>
        </w:rPr>
        <w:t xml:space="preserve">; 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в Сервисе (</w:t>
      </w:r>
      <w:r>
        <w:rPr>
          <w:color w:val="000000" w:themeColor="text1"/>
          <w:sz w:val="22"/>
          <w:szCs w:val="22"/>
        </w:rPr>
        <w:t>«СТАТУС онлайн. Кабинет акционера»)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а </w:t>
      </w:r>
      <w:r>
        <w:rPr>
          <w:rFonts w:ascii="Times New Roman" w:hAnsi="Times New Roman"/>
          <w:bCs/>
          <w:sz w:val="22"/>
          <w:szCs w:val="22"/>
        </w:rPr>
        <w:t xml:space="preserve">также в </w:t>
      </w:r>
      <w:r>
        <w:rPr>
          <w:rFonts w:ascii="Times New Roman" w:hAnsi="Times New Roman"/>
          <w:sz w:val="22"/>
          <w:szCs w:val="22"/>
        </w:rPr>
        <w:t xml:space="preserve">бесплатном мобильном приложении «Сбербанк Собрание акционеров» (доступно на </w:t>
      </w:r>
      <w:r>
        <w:rPr>
          <w:rFonts w:ascii="Times New Roman" w:hAnsi="Times New Roman"/>
          <w:sz w:val="22"/>
          <w:szCs w:val="22"/>
          <w:lang w:val="en-US"/>
        </w:rPr>
        <w:t>Android</w:t>
      </w:r>
      <w:r>
        <w:rPr>
          <w:rFonts w:ascii="Times New Roman" w:hAnsi="Times New Roman"/>
          <w:sz w:val="22"/>
          <w:szCs w:val="22"/>
        </w:rPr>
        <w:t xml:space="preserve"> и </w:t>
      </w:r>
      <w:r>
        <w:rPr>
          <w:rFonts w:ascii="Times New Roman" w:hAnsi="Times New Roman"/>
          <w:sz w:val="22"/>
          <w:szCs w:val="22"/>
          <w:lang w:val="en-US"/>
        </w:rPr>
        <w:t>IOS</w:t>
      </w:r>
      <w:r>
        <w:rPr>
          <w:rFonts w:ascii="Times New Roman" w:hAnsi="Times New Roman"/>
          <w:sz w:val="22"/>
          <w:szCs w:val="22"/>
        </w:rPr>
        <w:t xml:space="preserve">). Кроме того, в мобильном приложении реализована функция направления вопросов по повестке дня Собрания. </w:t>
      </w:r>
    </w:p>
    <w:p w:rsidR="00DD60C8" w:rsidRDefault="00DD60C8" w:rsidP="00DD60C8">
      <w:pPr>
        <w:spacing w:before="24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Повестка дня Собрания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spacing w:before="240"/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Об утверждении годового отчета за 2017 год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Об утверждении годовой бухгалтерской (финансовой) отчетности за 2017 год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 распределении прибыли и выплате дивидендов за 2017 год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 назначении аудиторской организации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Об избрании членов Наблюдательного совета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Об избрании членов Ревизионной комиссии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 согласии на совершение сделки, в совершении которой имеется заинтересованность</w:t>
      </w:r>
    </w:p>
    <w:p w:rsidR="00DD60C8" w:rsidRDefault="00DD60C8" w:rsidP="00DD60C8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Об утверждении Устава в новой редакции</w:t>
      </w: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</w:p>
    <w:p w:rsidR="00DD60C8" w:rsidRDefault="00DD60C8" w:rsidP="00DD60C8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Право голоса по всем вопросам повестки дня Собрания имеют акционеры — владельцы обыкновенных именных акций Банка.</w:t>
      </w:r>
    </w:p>
    <w:p w:rsidR="00DD60C8" w:rsidRPr="00207689" w:rsidRDefault="00DD60C8" w:rsidP="00DD60C8">
      <w:pPr>
        <w:pStyle w:val="a4"/>
        <w:ind w:firstLine="567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Телефон для справок Службы корпоративного секретаря Банка: +7</w:t>
      </w:r>
      <w:r>
        <w:rPr>
          <w:rFonts w:ascii="Times New Roman" w:hAnsi="Times New Roman"/>
          <w:color w:val="000000"/>
          <w:sz w:val="22"/>
          <w:szCs w:val="22"/>
        </w:rPr>
        <w:t xml:space="preserve"> 495 505-88-85.</w:t>
      </w:r>
    </w:p>
    <w:p w:rsidR="00207689" w:rsidRPr="00207689" w:rsidRDefault="00207689" w:rsidP="00207689">
      <w:pPr>
        <w:pStyle w:val="a6"/>
        <w:ind w:firstLine="567"/>
        <w:jc w:val="both"/>
        <w:rPr>
          <w:rFonts w:ascii="Times New Roman" w:hAnsi="Times New Roman"/>
          <w:sz w:val="22"/>
          <w:szCs w:val="22"/>
        </w:rPr>
      </w:pPr>
      <w:r w:rsidRPr="009B0DC1">
        <w:rPr>
          <w:rFonts w:ascii="Times New Roman" w:hAnsi="Times New Roman" w:cs="Times New Roman"/>
          <w:sz w:val="22"/>
          <w:szCs w:val="22"/>
        </w:rPr>
        <w:t>Контакты АО «СТАТУС»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9B0DC1">
        <w:rPr>
          <w:rFonts w:ascii="Times New Roman" w:hAnsi="Times New Roman" w:cs="Times New Roman"/>
          <w:sz w:val="22"/>
          <w:szCs w:val="22"/>
        </w:rPr>
        <w:t>www.rostatus.ru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9B0DC1">
        <w:rPr>
          <w:rFonts w:ascii="Times New Roman" w:hAnsi="Times New Roman" w:cs="Times New Roman"/>
          <w:sz w:val="22"/>
          <w:szCs w:val="22"/>
        </w:rPr>
        <w:t xml:space="preserve"> телефон горячей линии: </w:t>
      </w:r>
      <w:r w:rsidR="003D48A7">
        <w:rPr>
          <w:rFonts w:ascii="Times New Roman" w:hAnsi="Times New Roman"/>
          <w:sz w:val="22"/>
          <w:szCs w:val="22"/>
        </w:rPr>
        <w:t>+7</w:t>
      </w:r>
      <w:r w:rsidRPr="009B0DC1">
        <w:rPr>
          <w:rFonts w:ascii="Times New Roman" w:hAnsi="Times New Roman" w:cs="Times New Roman"/>
          <w:sz w:val="22"/>
          <w:szCs w:val="22"/>
        </w:rPr>
        <w:t xml:space="preserve"> 800 500-87-43.</w:t>
      </w:r>
    </w:p>
    <w:sectPr w:rsidR="00207689" w:rsidRPr="0020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C8"/>
    <w:rsid w:val="00193C44"/>
    <w:rsid w:val="00207689"/>
    <w:rsid w:val="00312100"/>
    <w:rsid w:val="003D48A7"/>
    <w:rsid w:val="004E6B82"/>
    <w:rsid w:val="00660BBD"/>
    <w:rsid w:val="009979E8"/>
    <w:rsid w:val="009B76EB"/>
    <w:rsid w:val="00A25868"/>
    <w:rsid w:val="00DD60C8"/>
    <w:rsid w:val="00DE0E44"/>
    <w:rsid w:val="00EA4053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D302E9-5499-4E19-8DED-DCD48C22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semiHidden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.com" TargetMode="External"/><Relationship Id="rId5" Type="http://schemas.openxmlformats.org/officeDocument/2006/relationships/hyperlink" Target="http://www.sberbank.com/sharehold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Зенцова Наталья Александровна</cp:lastModifiedBy>
  <cp:revision>2</cp:revision>
  <dcterms:created xsi:type="dcterms:W3CDTF">2018-05-15T07:22:00Z</dcterms:created>
  <dcterms:modified xsi:type="dcterms:W3CDTF">2018-05-15T07:22:00Z</dcterms:modified>
</cp:coreProperties>
</file>